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6E" w:rsidRDefault="0038036E" w:rsidP="00CC0646">
      <w:pPr>
        <w:rPr>
          <w:rFonts w:ascii="AvenirNext LT Pro Regular" w:hAnsi="AvenirNext LT Pro Regular"/>
        </w:rPr>
        <w:sectPr w:rsidR="0038036E" w:rsidSect="006937D2">
          <w:headerReference w:type="default" r:id="rId7"/>
          <w:footerReference w:type="default" r:id="rId8"/>
          <w:pgSz w:w="12240" w:h="15840" w:code="1"/>
          <w:pgMar w:top="2432" w:right="902" w:bottom="1412" w:left="1077" w:header="709" w:footer="709" w:gutter="0"/>
          <w:cols w:space="708"/>
          <w:docGrid w:linePitch="360"/>
        </w:sectPr>
      </w:pPr>
    </w:p>
    <w:p w:rsidR="005F592C" w:rsidRPr="00FA35E4" w:rsidRDefault="005F592C" w:rsidP="00FA35E4">
      <w:pPr>
        <w:jc w:val="center"/>
        <w:rPr>
          <w:rFonts w:ascii="Trebuchet MS" w:hAnsi="Trebuchet MS"/>
          <w:b/>
          <w:sz w:val="28"/>
          <w:szCs w:val="32"/>
          <w:lang w:val="es-ES"/>
        </w:rPr>
      </w:pPr>
      <w:bookmarkStart w:id="0" w:name="_GoBack"/>
      <w:bookmarkEnd w:id="0"/>
      <w:r w:rsidRPr="00FA35E4">
        <w:rPr>
          <w:rFonts w:ascii="Trebuchet MS" w:hAnsi="Trebuchet MS"/>
          <w:b/>
          <w:sz w:val="28"/>
          <w:szCs w:val="32"/>
          <w:lang w:val="es-ES"/>
        </w:rPr>
        <w:lastRenderedPageBreak/>
        <w:t>A LA OPINIÓN PÚBLICA</w:t>
      </w:r>
    </w:p>
    <w:p w:rsidR="00FA35E4" w:rsidRPr="00FA35E4" w:rsidRDefault="00FA35E4" w:rsidP="00FA35E4">
      <w:pPr>
        <w:jc w:val="both"/>
        <w:rPr>
          <w:rFonts w:ascii="Trebuchet MS" w:hAnsi="Trebuchet MS"/>
          <w:b/>
          <w:sz w:val="8"/>
          <w:szCs w:val="32"/>
          <w:lang w:val="es-ES"/>
        </w:rPr>
      </w:pPr>
    </w:p>
    <w:p w:rsidR="00447FB9" w:rsidRPr="00AA4387" w:rsidRDefault="00447FB9" w:rsidP="00FA35E4">
      <w:pPr>
        <w:jc w:val="both"/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 xml:space="preserve">Vistos los hechos recientemente acaecidos relacionados con una suma de dinero en efectivo que fue incautado en un vehículo de la propiedad o relacionado con la ciudadana </w:t>
      </w:r>
      <w:proofErr w:type="spellStart"/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Lilian</w:t>
      </w:r>
      <w:proofErr w:type="spellEnd"/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Tintori</w:t>
      </w:r>
      <w:proofErr w:type="spellEnd"/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, los cuales han sido comunicados a través de los distintos medios de comunicación social y redes sociales, informamos a la opinión pública lo siguiente:</w:t>
      </w:r>
    </w:p>
    <w:p w:rsidR="00447FB9" w:rsidRPr="00AA4387" w:rsidRDefault="00447FB9" w:rsidP="00FA35E4">
      <w:pPr>
        <w:jc w:val="both"/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z w:val="24"/>
          <w:szCs w:val="24"/>
          <w:lang w:val="es-ES"/>
        </w:rPr>
        <w:br/>
      </w:r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1.- El Banco inició una investigación exhaustiva de los hechos a través de las Unidades competentes, con la finalidad de coadyuvar con los Órganos de Regulación Bancaria y Organismos de Seguridad del Estado en el esclarecimiento de los hechos.</w:t>
      </w:r>
    </w:p>
    <w:p w:rsidR="00447FB9" w:rsidRPr="00AA4387" w:rsidRDefault="00447FB9" w:rsidP="00FA35E4">
      <w:pPr>
        <w:jc w:val="both"/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z w:val="24"/>
          <w:szCs w:val="24"/>
          <w:lang w:val="es-ES"/>
        </w:rPr>
        <w:br/>
      </w:r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2.- Los funcionarios del Banco que resultaron impuestos de una medida cautelar de presentación y prohibición de salida del país, con el objeto de facilitar las investigaciones del caso, actualmente se encuentran al frente de sus respectivos cargos, ejerciendo sus funciones ordinarias con total normalidad y acatando la medida que les fuera impuesta para colaborar plenamente en las investigaciones respectivas.</w:t>
      </w:r>
    </w:p>
    <w:p w:rsidR="00447FB9" w:rsidRPr="00AA4387" w:rsidRDefault="00447FB9" w:rsidP="00FA35E4">
      <w:pPr>
        <w:jc w:val="both"/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z w:val="24"/>
          <w:szCs w:val="24"/>
          <w:lang w:val="es-ES"/>
        </w:rPr>
        <w:br/>
      </w:r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3.- El BOD mantiene la prestación continua de servicios a sus usuarios con absoluta normalidad y sólo con el objeto de evitar confusiones y posibles interpretaciones alejadas de la realidad que causen incomodidades y molestias, informa a sus usuarios y público en general lo siguiente:</w:t>
      </w:r>
    </w:p>
    <w:p w:rsidR="00447FB9" w:rsidRPr="00AA4387" w:rsidRDefault="00447FB9" w:rsidP="00FA35E4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222222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hd w:val="clear" w:color="auto" w:fill="FFFFFF"/>
          <w:lang w:val="es-ES"/>
        </w:rPr>
        <w:t>Las operaciones de retiros de efectivo pueden llevarse a cabo con total normalidad, siempre que se realicen con apego a las normas legales aplicables y los lineamientos del Ejecutivo Nacional, debidamente instruidos a través de los Órganos de Regulación Bancaria.</w:t>
      </w:r>
    </w:p>
    <w:p w:rsidR="00447FB9" w:rsidRPr="00AA4387" w:rsidRDefault="00447FB9" w:rsidP="00FA35E4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222222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hd w:val="clear" w:color="auto" w:fill="FFFFFF"/>
          <w:lang w:val="es-ES"/>
        </w:rPr>
        <w:t>El Banco maneja un promedio de Tres Mil Millones de Bolívares (Bs. 3.000.000.000,00) de operaciones en efectivo diariamente, y es usual que ciertos clientes que requieren de pagos programados demanden importantes sumas de efectivo en razón de las actividades que llevan a cabo, como por ejemplo el pago de nómina de trabajadores no bancarizados o la compra de materia prima e insumos en el sector agrícola y pecuario.</w:t>
      </w:r>
    </w:p>
    <w:p w:rsidR="00447FB9" w:rsidRPr="00AA4387" w:rsidRDefault="00447FB9" w:rsidP="00FA35E4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222222"/>
          <w:shd w:val="clear" w:color="auto" w:fill="FFFFFF"/>
          <w:lang w:val="es-ES"/>
        </w:rPr>
      </w:pPr>
      <w:r w:rsidRPr="00AA4387">
        <w:rPr>
          <w:rFonts w:asciiTheme="minorHAnsi" w:hAnsiTheme="minorHAnsi" w:cs="Arial"/>
          <w:color w:val="222222"/>
          <w:shd w:val="clear" w:color="auto" w:fill="FFFFFF"/>
          <w:lang w:val="es-ES"/>
        </w:rPr>
        <w:t>El Banco dispone de controles que apuntan a determinar el origen legítimo de los fondos en efectivo que recibe en las cuentas de sus usuarios, así como registros y controles sobre los fondos en efectivo que salen del Banco y la identificación de las personas que los retiran. Sin embargo, ni el BOD ni ninguna institución financiera en el mundo, dispone de mecanismo de control, auditoría o monitoreo alguno sobre el uso que los clientes u otros usuarios dan a los fondos en efectivo retirados del Banco. Por lo tanto, el Banco no es responsable del uso ilegítimo que pudieran hacer los clientes u otros usuarios con los fondos en efectivo retirados del Banco.</w:t>
      </w:r>
    </w:p>
    <w:p w:rsidR="00447FB9" w:rsidRPr="00AA4387" w:rsidRDefault="00447FB9" w:rsidP="00FA35E4">
      <w:pPr>
        <w:pStyle w:val="ListParagraph"/>
        <w:jc w:val="both"/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</w:pPr>
    </w:p>
    <w:p w:rsidR="0038036E" w:rsidRPr="00FA35E4" w:rsidRDefault="00447FB9" w:rsidP="00FA35E4">
      <w:pPr>
        <w:pStyle w:val="ListParagraph"/>
        <w:ind w:left="0"/>
        <w:jc w:val="both"/>
        <w:rPr>
          <w:rFonts w:ascii="Trebuchet MS" w:hAnsi="Trebuchet MS" w:cs="Arial"/>
          <w:color w:val="222222"/>
          <w:sz w:val="24"/>
          <w:szCs w:val="24"/>
          <w:shd w:val="clear" w:color="auto" w:fill="FFFFFF"/>
          <w:lang w:val="es-ES"/>
        </w:rPr>
        <w:sectPr w:rsidR="0038036E" w:rsidRPr="00FA35E4" w:rsidSect="0038036E">
          <w:type w:val="continuous"/>
          <w:pgSz w:w="12240" w:h="15840" w:code="1"/>
          <w:pgMar w:top="2432" w:right="902" w:bottom="1412" w:left="1077" w:header="709" w:footer="709" w:gutter="0"/>
          <w:cols w:space="708"/>
          <w:formProt w:val="0"/>
          <w:docGrid w:linePitch="360"/>
        </w:sectPr>
      </w:pPr>
      <w:r w:rsidRPr="00AA4387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4.- En estos momentos, el BOD continúa llevando a cabo muy activamente todas las diligencias de investigación y auditoría que el caso en comento requiere, en constante y estrecha colaboración con los Organismos de Regulación Bancaria y los Cuerpos de Seguridad del Estado y continuará ofreciendo a éstos todo el apoyo, la colaboración y el soporte que sea necesario para determinar los hechos ocurridos, los actos ilícitos que pudieran haberse cometido y los responsables de los mismos</w:t>
      </w:r>
      <w:r w:rsidR="00FA35E4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es-ES"/>
        </w:rPr>
        <w:t>.</w:t>
      </w:r>
    </w:p>
    <w:p w:rsidR="0038036E" w:rsidRPr="005F592C" w:rsidRDefault="0038036E" w:rsidP="00CC0646">
      <w:pPr>
        <w:rPr>
          <w:rFonts w:ascii="AvenirNext LT Pro Regular" w:hAnsi="AvenirNext LT Pro Regular"/>
          <w:lang w:val="es-ES"/>
        </w:rPr>
      </w:pPr>
    </w:p>
    <w:sectPr w:rsidR="0038036E" w:rsidRPr="005F592C" w:rsidSect="0038036E">
      <w:type w:val="continuous"/>
      <w:pgSz w:w="12240" w:h="15840" w:code="1"/>
      <w:pgMar w:top="2432" w:right="902" w:bottom="141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E1" w:rsidRDefault="004D7DE1" w:rsidP="006937D2">
      <w:r>
        <w:separator/>
      </w:r>
    </w:p>
  </w:endnote>
  <w:endnote w:type="continuationSeparator" w:id="0">
    <w:p w:rsidR="004D7DE1" w:rsidRDefault="004D7DE1" w:rsidP="00693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802" w:rsidRPr="00B314AF" w:rsidRDefault="00F8260E" w:rsidP="00FB1802">
    <w:pPr>
      <w:pStyle w:val="Header"/>
      <w:jc w:val="center"/>
      <w:rPr>
        <w:rFonts w:ascii="Trebuchet MS" w:hAnsi="Trebuchet MS" w:cs="Trebuchet MS"/>
        <w:bCs/>
        <w:color w:val="52B848"/>
        <w:sz w:val="16"/>
        <w:szCs w:val="16"/>
      </w:rPr>
    </w:pPr>
    <w:r w:rsidRPr="00F8260E">
      <w:rPr>
        <w:noProof/>
        <w:color w:val="52B848"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left:0;text-align:left;margin-left:518.25pt;margin-top:-206.7pt;width:19.15pt;height:209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" filled="f" stroked="f">
          <v:textbox style="layout-flow:vertical;mso-layout-flow-alt:bottom-to-top;mso-fit-shape-to-text:t">
            <w:txbxContent>
              <w:p w:rsidR="00FB1802" w:rsidRPr="00B314AF" w:rsidRDefault="00FB1802" w:rsidP="00FB1802">
                <w:pPr>
                  <w:pStyle w:val="Header"/>
                  <w:rPr>
                    <w:rFonts w:ascii="Trebuchet MS" w:hAnsi="Trebuchet MS" w:cs="Trebuchet MS"/>
                    <w:color w:val="52B848"/>
                    <w:sz w:val="8"/>
                    <w:szCs w:val="8"/>
                  </w:rPr>
                </w:pPr>
                <w:r w:rsidRPr="00447FB9">
                  <w:rPr>
                    <w:rFonts w:ascii="Trebuchet MS" w:hAnsi="Trebuchet MS" w:cs="Trebuchet MS"/>
                    <w:bCs/>
                    <w:color w:val="52B848"/>
                    <w:sz w:val="8"/>
                    <w:szCs w:val="8"/>
                    <w:lang w:val="es-ES"/>
                  </w:rPr>
                  <w:t xml:space="preserve">AD-CO-I-0016-17 RIF J-30061946-0. BANCO OCCIDENTAL DE DESCUENTO. </w:t>
                </w:r>
                <w:r w:rsidRPr="00B314AF">
                  <w:rPr>
                    <w:rFonts w:ascii="Trebuchet MS" w:hAnsi="Trebuchet MS" w:cs="Trebuchet MS"/>
                    <w:bCs/>
                    <w:color w:val="52B848"/>
                    <w:sz w:val="8"/>
                    <w:szCs w:val="8"/>
                  </w:rPr>
                  <w:t>BANCO UNIVERSAL, C.A.</w:t>
                </w:r>
              </w:p>
            </w:txbxContent>
          </v:textbox>
          <w10:wrap type="square"/>
        </v:shape>
      </w:pict>
    </w:r>
    <w:r w:rsidR="00FB1802" w:rsidRPr="00447FB9">
      <w:rPr>
        <w:rFonts w:ascii="Trebuchet MS" w:hAnsi="Trebuchet MS" w:cs="Trebuchet MS"/>
        <w:bCs/>
        <w:color w:val="52B848"/>
        <w:sz w:val="16"/>
        <w:szCs w:val="16"/>
        <w:lang w:val="es-ES"/>
      </w:rPr>
      <w:t xml:space="preserve">Dirección Central: Torre B.O.D Av. 17, entre calles 77 y 78. </w:t>
    </w:r>
    <w:r w:rsidR="00FB1802" w:rsidRPr="00B314AF">
      <w:rPr>
        <w:rFonts w:ascii="Trebuchet MS" w:hAnsi="Trebuchet MS" w:cs="Trebuchet MS"/>
        <w:bCs/>
        <w:color w:val="52B848"/>
        <w:sz w:val="16"/>
        <w:szCs w:val="16"/>
      </w:rPr>
      <w:t>Maracaibo, Estado Zulia.</w:t>
    </w:r>
  </w:p>
  <w:p w:rsidR="00FB1802" w:rsidRDefault="00FB18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E1" w:rsidRDefault="004D7DE1" w:rsidP="006937D2">
      <w:r>
        <w:separator/>
      </w:r>
    </w:p>
  </w:footnote>
  <w:footnote w:type="continuationSeparator" w:id="0">
    <w:p w:rsidR="004D7DE1" w:rsidRDefault="004D7DE1" w:rsidP="00693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802" w:rsidRDefault="007321B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-45085</wp:posOffset>
          </wp:positionV>
          <wp:extent cx="1544955" cy="1033145"/>
          <wp:effectExtent l="0" t="0" r="0" b="0"/>
          <wp:wrapNone/>
          <wp:docPr id="5" name="Imagen 5" descr="Logo 60 años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60 años 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E7B1B"/>
    <w:multiLevelType w:val="hybridMultilevel"/>
    <w:tmpl w:val="F5BA6E3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8C5965"/>
    <w:multiLevelType w:val="hybridMultilevel"/>
    <w:tmpl w:val="A5A89A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 w:cryptProviderType="rsaAES" w:cryptAlgorithmClass="hash" w:cryptAlgorithmType="typeAny" w:cryptAlgorithmSid="14" w:cryptSpinCount="100000" w:hash="PV0Vwy+JDhuE19eL+gioTiTKjRSCb2hYxjJ+d/VSEofqdrss3QzWszu5sqs40KxhjrJKnM2iwXM1&#10;9tSMd/+W/A==" w:salt="6APbq83UW4BSeO+CrLRTvA==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F592C"/>
    <w:rsid w:val="00134F0D"/>
    <w:rsid w:val="002319F1"/>
    <w:rsid w:val="0023776F"/>
    <w:rsid w:val="0038036E"/>
    <w:rsid w:val="00447FB9"/>
    <w:rsid w:val="004D7DE1"/>
    <w:rsid w:val="004E7865"/>
    <w:rsid w:val="00521B8B"/>
    <w:rsid w:val="005F592C"/>
    <w:rsid w:val="006937D2"/>
    <w:rsid w:val="007321BA"/>
    <w:rsid w:val="007A6956"/>
    <w:rsid w:val="00870CE9"/>
    <w:rsid w:val="00A112FE"/>
    <w:rsid w:val="00A8043C"/>
    <w:rsid w:val="00AA4387"/>
    <w:rsid w:val="00B12A3A"/>
    <w:rsid w:val="00B938A0"/>
    <w:rsid w:val="00CC0646"/>
    <w:rsid w:val="00D176E9"/>
    <w:rsid w:val="00F8260E"/>
    <w:rsid w:val="00FA35E4"/>
    <w:rsid w:val="00FB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92C"/>
    <w:rPr>
      <w:rFonts w:ascii="Calibri" w:hAnsi="Calibri"/>
      <w:sz w:val="22"/>
      <w:szCs w:val="22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37D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937D2"/>
    <w:rPr>
      <w:sz w:val="24"/>
      <w:szCs w:val="24"/>
    </w:rPr>
  </w:style>
  <w:style w:type="paragraph" w:styleId="Footer">
    <w:name w:val="footer"/>
    <w:basedOn w:val="Normal"/>
    <w:link w:val="FooterChar"/>
    <w:rsid w:val="006937D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6937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92C"/>
    <w:rPr>
      <w:rFonts w:ascii="Calibri" w:hAnsi="Calibri"/>
      <w:sz w:val="22"/>
      <w:szCs w:val="22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37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937D2"/>
    <w:rPr>
      <w:sz w:val="24"/>
      <w:szCs w:val="24"/>
    </w:rPr>
  </w:style>
  <w:style w:type="paragraph" w:styleId="Piedepgina">
    <w:name w:val="footer"/>
    <w:basedOn w:val="Normal"/>
    <w:link w:val="PiedepginaCar"/>
    <w:rsid w:val="006937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937D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F5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\Downloads\AD-CO-I-0016%20HOJA%20CARTA%20CON%20LOGOTIPO%20Y%20DIRECCION%20(color-logo%2060-a&#241;os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AD-CO-I-0016 HOJA CARTA CON LOGOTIPO Y DIRECCION (color-logo 60-años).dot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BOD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UC078313</cp:lastModifiedBy>
  <cp:revision>2</cp:revision>
  <dcterms:created xsi:type="dcterms:W3CDTF">2017-09-05T01:44:00Z</dcterms:created>
  <dcterms:modified xsi:type="dcterms:W3CDTF">2017-09-05T01:44:00Z</dcterms:modified>
</cp:coreProperties>
</file>